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592816"/>
        <w:docPartObj>
          <w:docPartGallery w:val="Page Numbers (Top of Page)"/>
          <w:docPartUnique/>
        </w:docPartObj>
      </w:sdtPr>
      <w:sdtContent>
        <w:p w:rsidR="00CA0251" w:rsidRDefault="00CA0251" w:rsidP="00CA0251">
          <w:pPr>
            <w:pStyle w:val="Header"/>
            <w:rPr>
              <w:rFonts w:ascii="Times New Roman" w:hAnsi="Times New Roman"/>
              <w:sz w:val="20"/>
            </w:rPr>
          </w:pPr>
          <w:r w:rsidRPr="007F739E">
            <w:rPr>
              <w:rFonts w:ascii="Times New Roman" w:hAnsi="Times New Roman"/>
              <w:sz w:val="20"/>
            </w:rPr>
            <w:t>Indian Journal of Basic and Applied Medical Research; June 20</w:t>
          </w:r>
          <w:r>
            <w:rPr>
              <w:rFonts w:ascii="Times New Roman" w:hAnsi="Times New Roman"/>
              <w:sz w:val="20"/>
            </w:rPr>
            <w:t>15: Vol.-4, Issue- 3, P. 141-149</w:t>
          </w:r>
        </w:p>
        <w:p w:rsidR="00CA0251" w:rsidRPr="007F739E" w:rsidRDefault="00CA0251" w:rsidP="00CA0251">
          <w:pPr>
            <w:pStyle w:val="Header"/>
            <w:rPr>
              <w:rFonts w:ascii="Times New Roman" w:hAnsi="Times New Roman"/>
            </w:rPr>
          </w:pPr>
        </w:p>
      </w:sdtContent>
    </w:sdt>
    <w:p w:rsidR="00CA0251" w:rsidRPr="00536C74" w:rsidRDefault="00CA0251" w:rsidP="00CA0251">
      <w:pPr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  <w:shd w:val="clear" w:color="auto" w:fill="FFFFFF"/>
        </w:rPr>
      </w:pPr>
      <w:r w:rsidRPr="008D288D">
        <w:rPr>
          <w:rFonts w:asciiTheme="majorHAnsi" w:hAnsiTheme="majorHAnsi"/>
          <w:b/>
          <w:color w:val="000000"/>
          <w:sz w:val="24"/>
          <w:szCs w:val="24"/>
          <w:highlight w:val="lightGray"/>
        </w:rPr>
        <w:t xml:space="preserve"> </w:t>
      </w:r>
      <w:r w:rsidRPr="00536C74">
        <w:rPr>
          <w:rFonts w:asciiTheme="majorHAnsi" w:hAnsiTheme="majorHAnsi"/>
          <w:b/>
          <w:bCs/>
          <w:sz w:val="24"/>
          <w:szCs w:val="24"/>
          <w:highlight w:val="lightGray"/>
          <w:shd w:val="clear" w:color="auto" w:fill="FFFFFF"/>
        </w:rPr>
        <w:t>Original article:</w:t>
      </w:r>
    </w:p>
    <w:p w:rsidR="00CA0251" w:rsidRPr="00536C74" w:rsidRDefault="00CA0251" w:rsidP="00CA0251">
      <w:pPr>
        <w:spacing w:after="0" w:line="360" w:lineRule="auto"/>
        <w:jc w:val="both"/>
        <w:rPr>
          <w:rFonts w:asciiTheme="majorHAnsi" w:hAnsiTheme="majorHAnsi"/>
          <w:b/>
          <w:bCs/>
          <w:color w:val="1F497D" w:themeColor="text2"/>
          <w:sz w:val="24"/>
          <w:szCs w:val="24"/>
          <w:shd w:val="clear" w:color="auto" w:fill="FFFFFF"/>
        </w:rPr>
      </w:pPr>
      <w:r w:rsidRPr="00536C74">
        <w:rPr>
          <w:rFonts w:asciiTheme="majorHAnsi" w:hAnsiTheme="majorHAnsi"/>
          <w:b/>
          <w:bCs/>
          <w:color w:val="1F497D" w:themeColor="text2"/>
          <w:sz w:val="24"/>
          <w:szCs w:val="24"/>
          <w:shd w:val="clear" w:color="auto" w:fill="FFFFFF"/>
        </w:rPr>
        <w:t xml:space="preserve">Evaluation of efficacy and tolerability of iron sucrose and iron </w:t>
      </w:r>
      <w:proofErr w:type="spellStart"/>
      <w:r w:rsidRPr="00536C74">
        <w:rPr>
          <w:rFonts w:asciiTheme="majorHAnsi" w:hAnsiTheme="majorHAnsi"/>
          <w:b/>
          <w:bCs/>
          <w:color w:val="1F497D" w:themeColor="text2"/>
          <w:sz w:val="24"/>
          <w:szCs w:val="24"/>
          <w:shd w:val="clear" w:color="auto" w:fill="FFFFFF"/>
        </w:rPr>
        <w:t>dextran</w:t>
      </w:r>
      <w:proofErr w:type="spellEnd"/>
      <w:r w:rsidRPr="00536C74">
        <w:rPr>
          <w:rFonts w:asciiTheme="majorHAnsi" w:hAnsiTheme="majorHAnsi"/>
          <w:b/>
          <w:bCs/>
          <w:color w:val="1F497D" w:themeColor="text2"/>
          <w:sz w:val="24"/>
          <w:szCs w:val="24"/>
          <w:shd w:val="clear" w:color="auto" w:fill="FFFFFF"/>
        </w:rPr>
        <w:t xml:space="preserve"> in chronic renal failure patients in a tertiary care teaching hospital</w:t>
      </w:r>
    </w:p>
    <w:p w:rsidR="00CA0251" w:rsidRDefault="00CA0251" w:rsidP="00CA0251">
      <w:pPr>
        <w:spacing w:after="0" w:line="360" w:lineRule="auto"/>
        <w:rPr>
          <w:rFonts w:asciiTheme="majorHAnsi" w:hAnsiTheme="majorHAnsi"/>
          <w:b/>
          <w:spacing w:val="4"/>
        </w:rPr>
      </w:pPr>
      <w:r w:rsidRPr="00536C74">
        <w:rPr>
          <w:rFonts w:asciiTheme="majorHAnsi" w:hAnsiTheme="majorHAnsi"/>
          <w:b/>
        </w:rPr>
        <w:t>D</w:t>
      </w:r>
      <w:r w:rsidRPr="00536C74">
        <w:rPr>
          <w:rFonts w:asciiTheme="majorHAnsi" w:hAnsiTheme="majorHAnsi"/>
          <w:b/>
          <w:spacing w:val="1"/>
        </w:rPr>
        <w:t>r</w:t>
      </w:r>
      <w:r w:rsidRPr="00536C74">
        <w:rPr>
          <w:rFonts w:asciiTheme="majorHAnsi" w:hAnsiTheme="majorHAnsi"/>
          <w:b/>
        </w:rPr>
        <w:t>.</w:t>
      </w:r>
      <w:r w:rsidRPr="00536C74">
        <w:rPr>
          <w:rFonts w:asciiTheme="majorHAnsi" w:hAnsiTheme="majorHAnsi"/>
          <w:b/>
          <w:spacing w:val="4"/>
        </w:rPr>
        <w:t xml:space="preserve"> </w:t>
      </w:r>
      <w:proofErr w:type="spellStart"/>
      <w:r w:rsidRPr="00536C74">
        <w:rPr>
          <w:rFonts w:asciiTheme="majorHAnsi" w:hAnsiTheme="majorHAnsi"/>
          <w:b/>
          <w:spacing w:val="1"/>
        </w:rPr>
        <w:t>P</w:t>
      </w:r>
      <w:r w:rsidRPr="00536C74">
        <w:rPr>
          <w:rFonts w:asciiTheme="majorHAnsi" w:hAnsiTheme="majorHAnsi"/>
          <w:b/>
          <w:spacing w:val="-1"/>
        </w:rPr>
        <w:t>a</w:t>
      </w:r>
      <w:r w:rsidRPr="00536C74">
        <w:rPr>
          <w:rFonts w:asciiTheme="majorHAnsi" w:hAnsiTheme="majorHAnsi"/>
          <w:b/>
          <w:spacing w:val="-5"/>
        </w:rPr>
        <w:t>n</w:t>
      </w:r>
      <w:r w:rsidRPr="00536C74">
        <w:rPr>
          <w:rFonts w:asciiTheme="majorHAnsi" w:hAnsiTheme="majorHAnsi"/>
          <w:b/>
          <w:spacing w:val="-1"/>
        </w:rPr>
        <w:t>c</w:t>
      </w:r>
      <w:r w:rsidRPr="00536C74">
        <w:rPr>
          <w:rFonts w:asciiTheme="majorHAnsi" w:hAnsiTheme="majorHAnsi"/>
          <w:b/>
          <w:spacing w:val="-5"/>
        </w:rPr>
        <w:t>h</w:t>
      </w:r>
      <w:r w:rsidRPr="00536C74">
        <w:rPr>
          <w:rFonts w:asciiTheme="majorHAnsi" w:hAnsiTheme="majorHAnsi"/>
          <w:b/>
          <w:spacing w:val="4"/>
        </w:rPr>
        <w:t>a</w:t>
      </w:r>
      <w:r w:rsidRPr="00536C74">
        <w:rPr>
          <w:rFonts w:asciiTheme="majorHAnsi" w:hAnsiTheme="majorHAnsi"/>
          <w:b/>
        </w:rPr>
        <w:t>l</w:t>
      </w:r>
      <w:proofErr w:type="spellEnd"/>
      <w:r w:rsidRPr="00536C74">
        <w:rPr>
          <w:rFonts w:asciiTheme="majorHAnsi" w:hAnsiTheme="majorHAnsi"/>
          <w:b/>
          <w:spacing w:val="-7"/>
        </w:rPr>
        <w:t xml:space="preserve"> </w:t>
      </w:r>
      <w:proofErr w:type="spellStart"/>
      <w:r w:rsidRPr="00536C74">
        <w:rPr>
          <w:rFonts w:asciiTheme="majorHAnsi" w:hAnsiTheme="majorHAnsi"/>
          <w:b/>
          <w:spacing w:val="1"/>
        </w:rPr>
        <w:t>P</w:t>
      </w:r>
      <w:r w:rsidRPr="00536C74">
        <w:rPr>
          <w:rFonts w:asciiTheme="majorHAnsi" w:hAnsiTheme="majorHAnsi"/>
          <w:b/>
          <w:spacing w:val="4"/>
        </w:rPr>
        <w:t>a</w:t>
      </w:r>
      <w:r w:rsidRPr="00536C74">
        <w:rPr>
          <w:rFonts w:asciiTheme="majorHAnsi" w:hAnsiTheme="majorHAnsi"/>
          <w:b/>
        </w:rPr>
        <w:t>v</w:t>
      </w:r>
      <w:r w:rsidRPr="00536C74">
        <w:rPr>
          <w:rFonts w:asciiTheme="majorHAnsi" w:hAnsiTheme="majorHAnsi"/>
          <w:b/>
          <w:spacing w:val="4"/>
        </w:rPr>
        <w:t>a</w:t>
      </w:r>
      <w:r w:rsidRPr="00536C74">
        <w:rPr>
          <w:rFonts w:asciiTheme="majorHAnsi" w:hAnsiTheme="majorHAnsi"/>
          <w:b/>
        </w:rPr>
        <w:t>n</w:t>
      </w:r>
      <w:proofErr w:type="spellEnd"/>
      <w:r w:rsidRPr="00536C74">
        <w:rPr>
          <w:rFonts w:asciiTheme="majorHAnsi" w:hAnsiTheme="majorHAnsi"/>
          <w:b/>
          <w:spacing w:val="-3"/>
        </w:rPr>
        <w:t xml:space="preserve"> </w:t>
      </w:r>
      <w:proofErr w:type="spellStart"/>
      <w:r w:rsidRPr="00536C74">
        <w:rPr>
          <w:rFonts w:asciiTheme="majorHAnsi" w:hAnsiTheme="majorHAnsi"/>
          <w:b/>
          <w:spacing w:val="-2"/>
        </w:rPr>
        <w:t>J</w:t>
      </w:r>
      <w:r w:rsidRPr="00536C74">
        <w:rPr>
          <w:rFonts w:asciiTheme="majorHAnsi" w:hAnsiTheme="majorHAnsi"/>
          <w:b/>
          <w:spacing w:val="2"/>
        </w:rPr>
        <w:t>.</w:t>
      </w:r>
      <w:proofErr w:type="gramStart"/>
      <w:r w:rsidRPr="00536C74">
        <w:rPr>
          <w:rFonts w:asciiTheme="majorHAnsi" w:hAnsiTheme="majorHAnsi"/>
          <w:b/>
        </w:rPr>
        <w:t>,D</w:t>
      </w:r>
      <w:r w:rsidRPr="00536C74">
        <w:rPr>
          <w:rFonts w:asciiTheme="majorHAnsi" w:hAnsiTheme="majorHAnsi"/>
          <w:b/>
          <w:spacing w:val="1"/>
        </w:rPr>
        <w:t>r</w:t>
      </w:r>
      <w:proofErr w:type="spellEnd"/>
      <w:proofErr w:type="gramEnd"/>
      <w:r w:rsidRPr="00536C74">
        <w:rPr>
          <w:rFonts w:asciiTheme="majorHAnsi" w:hAnsiTheme="majorHAnsi"/>
          <w:b/>
        </w:rPr>
        <w:t>.</w:t>
      </w:r>
      <w:r w:rsidRPr="00536C74">
        <w:rPr>
          <w:rFonts w:asciiTheme="majorHAnsi" w:hAnsiTheme="majorHAnsi"/>
          <w:b/>
          <w:spacing w:val="4"/>
        </w:rPr>
        <w:t xml:space="preserve"> </w:t>
      </w:r>
      <w:r w:rsidRPr="00536C74">
        <w:rPr>
          <w:rFonts w:asciiTheme="majorHAnsi" w:hAnsiTheme="majorHAnsi"/>
          <w:b/>
        </w:rPr>
        <w:t>D</w:t>
      </w:r>
      <w:r w:rsidRPr="00536C74">
        <w:rPr>
          <w:rFonts w:asciiTheme="majorHAnsi" w:hAnsiTheme="majorHAnsi"/>
          <w:b/>
          <w:spacing w:val="-1"/>
        </w:rPr>
        <w:t>e</w:t>
      </w:r>
      <w:r w:rsidRPr="00536C74">
        <w:rPr>
          <w:rFonts w:asciiTheme="majorHAnsi" w:hAnsiTheme="majorHAnsi"/>
          <w:b/>
          <w:spacing w:val="-2"/>
        </w:rPr>
        <w:t>s</w:t>
      </w:r>
      <w:r w:rsidRPr="00536C74">
        <w:rPr>
          <w:rFonts w:asciiTheme="majorHAnsi" w:hAnsiTheme="majorHAnsi"/>
          <w:b/>
          <w:spacing w:val="4"/>
        </w:rPr>
        <w:t>a</w:t>
      </w:r>
      <w:r w:rsidRPr="00536C74">
        <w:rPr>
          <w:rFonts w:asciiTheme="majorHAnsi" w:hAnsiTheme="majorHAnsi"/>
          <w:b/>
        </w:rPr>
        <w:t>i</w:t>
      </w:r>
      <w:r w:rsidRPr="00536C74">
        <w:rPr>
          <w:rFonts w:asciiTheme="majorHAnsi" w:hAnsiTheme="majorHAnsi"/>
          <w:b/>
          <w:spacing w:val="-7"/>
        </w:rPr>
        <w:t xml:space="preserve"> </w:t>
      </w:r>
      <w:r w:rsidRPr="00536C74">
        <w:rPr>
          <w:rFonts w:asciiTheme="majorHAnsi" w:hAnsiTheme="majorHAnsi"/>
          <w:b/>
          <w:spacing w:val="2"/>
        </w:rPr>
        <w:t>M</w:t>
      </w:r>
      <w:r w:rsidRPr="00536C74">
        <w:rPr>
          <w:rFonts w:asciiTheme="majorHAnsi" w:hAnsiTheme="majorHAnsi"/>
          <w:b/>
          <w:spacing w:val="-9"/>
        </w:rPr>
        <w:t>i</w:t>
      </w:r>
      <w:r w:rsidRPr="00536C74">
        <w:rPr>
          <w:rFonts w:asciiTheme="majorHAnsi" w:hAnsiTheme="majorHAnsi"/>
          <w:b/>
          <w:spacing w:val="1"/>
        </w:rPr>
        <w:t>r</w:t>
      </w:r>
      <w:r w:rsidRPr="00536C74">
        <w:rPr>
          <w:rFonts w:asciiTheme="majorHAnsi" w:hAnsiTheme="majorHAnsi"/>
          <w:b/>
        </w:rPr>
        <w:t>a</w:t>
      </w:r>
      <w:r w:rsidRPr="00536C74">
        <w:rPr>
          <w:rFonts w:asciiTheme="majorHAnsi" w:hAnsiTheme="majorHAnsi"/>
          <w:b/>
          <w:spacing w:val="6"/>
        </w:rPr>
        <w:t xml:space="preserve"> </w:t>
      </w:r>
      <w:r w:rsidRPr="00536C74">
        <w:rPr>
          <w:rFonts w:asciiTheme="majorHAnsi" w:hAnsiTheme="majorHAnsi"/>
          <w:b/>
          <w:spacing w:val="-5"/>
        </w:rPr>
        <w:t>K</w:t>
      </w:r>
      <w:r w:rsidRPr="00536C74">
        <w:rPr>
          <w:rFonts w:asciiTheme="majorHAnsi" w:hAnsiTheme="majorHAnsi"/>
          <w:b/>
          <w:spacing w:val="2"/>
        </w:rPr>
        <w:t>.</w:t>
      </w:r>
      <w:r w:rsidRPr="00536C74">
        <w:rPr>
          <w:rFonts w:asciiTheme="majorHAnsi" w:hAnsiTheme="majorHAnsi"/>
          <w:b/>
          <w:spacing w:val="4"/>
        </w:rPr>
        <w:t xml:space="preserve"> </w:t>
      </w:r>
    </w:p>
    <w:p w:rsidR="00CA0251" w:rsidRPr="00536C74" w:rsidRDefault="00CA0251" w:rsidP="00CA0251">
      <w:pPr>
        <w:spacing w:after="0" w:line="360" w:lineRule="auto"/>
        <w:rPr>
          <w:rFonts w:asciiTheme="majorHAnsi" w:hAnsiTheme="majorHAnsi"/>
          <w:b/>
        </w:rPr>
      </w:pPr>
    </w:p>
    <w:p w:rsidR="00CA0251" w:rsidRPr="00536C74" w:rsidRDefault="00CA0251" w:rsidP="00CA0251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536C74">
        <w:rPr>
          <w:rFonts w:asciiTheme="majorHAnsi" w:hAnsiTheme="majorHAnsi"/>
          <w:sz w:val="18"/>
          <w:szCs w:val="18"/>
        </w:rPr>
        <w:t>D</w:t>
      </w:r>
      <w:r w:rsidRPr="00536C74">
        <w:rPr>
          <w:rFonts w:asciiTheme="majorHAnsi" w:hAnsiTheme="majorHAnsi"/>
          <w:spacing w:val="-1"/>
          <w:sz w:val="18"/>
          <w:szCs w:val="18"/>
        </w:rPr>
        <w:t>e</w:t>
      </w:r>
      <w:r w:rsidRPr="00536C74">
        <w:rPr>
          <w:rFonts w:asciiTheme="majorHAnsi" w:hAnsiTheme="majorHAnsi"/>
          <w:sz w:val="18"/>
          <w:szCs w:val="18"/>
        </w:rPr>
        <w:t>pt</w:t>
      </w:r>
      <w:r w:rsidRPr="00536C74">
        <w:rPr>
          <w:rFonts w:asciiTheme="majorHAnsi" w:hAnsiTheme="majorHAnsi"/>
          <w:spacing w:val="3"/>
          <w:sz w:val="18"/>
          <w:szCs w:val="18"/>
        </w:rPr>
        <w:t xml:space="preserve"> </w:t>
      </w:r>
      <w:r w:rsidRPr="00536C74">
        <w:rPr>
          <w:rFonts w:asciiTheme="majorHAnsi" w:hAnsiTheme="majorHAnsi"/>
          <w:spacing w:val="5"/>
          <w:sz w:val="18"/>
          <w:szCs w:val="18"/>
        </w:rPr>
        <w:t>o</w:t>
      </w:r>
      <w:r w:rsidRPr="00536C74">
        <w:rPr>
          <w:rFonts w:asciiTheme="majorHAnsi" w:hAnsiTheme="majorHAnsi"/>
          <w:sz w:val="18"/>
          <w:szCs w:val="18"/>
        </w:rPr>
        <w:t>f</w:t>
      </w:r>
      <w:r w:rsidRPr="00536C74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536C74">
        <w:rPr>
          <w:rFonts w:asciiTheme="majorHAnsi" w:hAnsiTheme="majorHAnsi"/>
          <w:spacing w:val="1"/>
          <w:sz w:val="18"/>
          <w:szCs w:val="18"/>
        </w:rPr>
        <w:t>P</w:t>
      </w:r>
      <w:r w:rsidRPr="00536C74">
        <w:rPr>
          <w:rFonts w:asciiTheme="majorHAnsi" w:hAnsiTheme="majorHAnsi"/>
          <w:sz w:val="18"/>
          <w:szCs w:val="18"/>
        </w:rPr>
        <w:t>h</w:t>
      </w:r>
      <w:r w:rsidRPr="00536C74">
        <w:rPr>
          <w:rFonts w:asciiTheme="majorHAnsi" w:hAnsiTheme="majorHAnsi"/>
          <w:spacing w:val="-1"/>
          <w:sz w:val="18"/>
          <w:szCs w:val="18"/>
        </w:rPr>
        <w:t>a</w:t>
      </w:r>
      <w:r w:rsidRPr="00536C74">
        <w:rPr>
          <w:rFonts w:asciiTheme="majorHAnsi" w:hAnsiTheme="majorHAnsi"/>
          <w:spacing w:val="6"/>
          <w:sz w:val="18"/>
          <w:szCs w:val="18"/>
        </w:rPr>
        <w:t>r</w:t>
      </w:r>
      <w:r w:rsidRPr="00536C74">
        <w:rPr>
          <w:rFonts w:asciiTheme="majorHAnsi" w:hAnsiTheme="majorHAnsi"/>
          <w:spacing w:val="-9"/>
          <w:sz w:val="18"/>
          <w:szCs w:val="18"/>
        </w:rPr>
        <w:t>m</w:t>
      </w:r>
      <w:r w:rsidRPr="00536C74">
        <w:rPr>
          <w:rFonts w:asciiTheme="majorHAnsi" w:hAnsiTheme="majorHAnsi"/>
          <w:spacing w:val="-1"/>
          <w:sz w:val="18"/>
          <w:szCs w:val="18"/>
        </w:rPr>
        <w:t>ac</w:t>
      </w:r>
      <w:r w:rsidRPr="00536C74">
        <w:rPr>
          <w:rFonts w:asciiTheme="majorHAnsi" w:hAnsiTheme="majorHAnsi"/>
          <w:spacing w:val="9"/>
          <w:sz w:val="18"/>
          <w:szCs w:val="18"/>
        </w:rPr>
        <w:t>o</w:t>
      </w:r>
      <w:r w:rsidRPr="00536C74">
        <w:rPr>
          <w:rFonts w:asciiTheme="majorHAnsi" w:hAnsiTheme="majorHAnsi"/>
          <w:spacing w:val="-9"/>
          <w:sz w:val="18"/>
          <w:szCs w:val="18"/>
        </w:rPr>
        <w:t>l</w:t>
      </w:r>
      <w:r w:rsidRPr="00536C74">
        <w:rPr>
          <w:rFonts w:asciiTheme="majorHAnsi" w:hAnsiTheme="majorHAnsi"/>
          <w:spacing w:val="5"/>
          <w:sz w:val="18"/>
          <w:szCs w:val="18"/>
        </w:rPr>
        <w:t>og</w:t>
      </w:r>
      <w:r w:rsidRPr="00536C74">
        <w:rPr>
          <w:rFonts w:asciiTheme="majorHAnsi" w:hAnsiTheme="majorHAnsi"/>
          <w:spacing w:val="-10"/>
          <w:sz w:val="18"/>
          <w:szCs w:val="18"/>
        </w:rPr>
        <w:t>y</w:t>
      </w:r>
      <w:r w:rsidRPr="00536C74">
        <w:rPr>
          <w:rFonts w:asciiTheme="majorHAnsi" w:hAnsiTheme="majorHAnsi"/>
          <w:sz w:val="18"/>
          <w:szCs w:val="18"/>
        </w:rPr>
        <w:t>,</w:t>
      </w:r>
      <w:r w:rsidRPr="00536C74">
        <w:rPr>
          <w:rFonts w:asciiTheme="majorHAnsi" w:hAnsiTheme="majorHAnsi"/>
          <w:spacing w:val="4"/>
          <w:sz w:val="18"/>
          <w:szCs w:val="18"/>
        </w:rPr>
        <w:t xml:space="preserve"> </w:t>
      </w:r>
      <w:r w:rsidRPr="00536C74">
        <w:rPr>
          <w:rFonts w:asciiTheme="majorHAnsi" w:hAnsiTheme="majorHAnsi"/>
          <w:spacing w:val="-2"/>
          <w:sz w:val="18"/>
          <w:szCs w:val="18"/>
        </w:rPr>
        <w:t>BJ</w:t>
      </w:r>
      <w:r>
        <w:rPr>
          <w:rFonts w:asciiTheme="majorHAnsi" w:hAnsiTheme="majorHAnsi"/>
          <w:spacing w:val="2"/>
          <w:sz w:val="18"/>
          <w:szCs w:val="18"/>
        </w:rPr>
        <w:t xml:space="preserve"> Medical </w:t>
      </w:r>
      <w:proofErr w:type="gramStart"/>
      <w:r>
        <w:rPr>
          <w:rFonts w:asciiTheme="majorHAnsi" w:hAnsiTheme="majorHAnsi"/>
          <w:spacing w:val="2"/>
          <w:sz w:val="18"/>
          <w:szCs w:val="18"/>
        </w:rPr>
        <w:t xml:space="preserve">College </w:t>
      </w:r>
      <w:r w:rsidRPr="00536C74">
        <w:rPr>
          <w:rFonts w:asciiTheme="majorHAnsi" w:hAnsiTheme="majorHAnsi"/>
          <w:sz w:val="18"/>
          <w:szCs w:val="18"/>
        </w:rPr>
        <w:t>,</w:t>
      </w:r>
      <w:proofErr w:type="gramEnd"/>
      <w:r w:rsidRPr="00536C74">
        <w:rPr>
          <w:rFonts w:asciiTheme="majorHAnsi" w:hAnsiTheme="majorHAnsi"/>
          <w:spacing w:val="4"/>
          <w:sz w:val="18"/>
          <w:szCs w:val="18"/>
        </w:rPr>
        <w:t xml:space="preserve"> </w:t>
      </w:r>
      <w:proofErr w:type="spellStart"/>
      <w:r w:rsidRPr="00536C74">
        <w:rPr>
          <w:rFonts w:asciiTheme="majorHAnsi" w:hAnsiTheme="majorHAnsi"/>
          <w:sz w:val="18"/>
          <w:szCs w:val="18"/>
        </w:rPr>
        <w:t>Ah</w:t>
      </w:r>
      <w:r w:rsidRPr="00536C74">
        <w:rPr>
          <w:rFonts w:asciiTheme="majorHAnsi" w:hAnsiTheme="majorHAnsi"/>
          <w:spacing w:val="-5"/>
          <w:sz w:val="18"/>
          <w:szCs w:val="18"/>
        </w:rPr>
        <w:t>m</w:t>
      </w:r>
      <w:r w:rsidRPr="00536C74">
        <w:rPr>
          <w:rFonts w:asciiTheme="majorHAnsi" w:hAnsiTheme="majorHAnsi"/>
          <w:spacing w:val="-1"/>
          <w:sz w:val="18"/>
          <w:szCs w:val="18"/>
        </w:rPr>
        <w:t>e</w:t>
      </w:r>
      <w:r w:rsidRPr="00536C74">
        <w:rPr>
          <w:rFonts w:asciiTheme="majorHAnsi" w:hAnsiTheme="majorHAnsi"/>
          <w:sz w:val="18"/>
          <w:szCs w:val="18"/>
        </w:rPr>
        <w:t>d</w:t>
      </w:r>
      <w:r w:rsidRPr="00536C74">
        <w:rPr>
          <w:rFonts w:asciiTheme="majorHAnsi" w:hAnsiTheme="majorHAnsi"/>
          <w:spacing w:val="4"/>
          <w:sz w:val="18"/>
          <w:szCs w:val="18"/>
        </w:rPr>
        <w:t>a</w:t>
      </w:r>
      <w:r w:rsidRPr="00536C74">
        <w:rPr>
          <w:rFonts w:asciiTheme="majorHAnsi" w:hAnsiTheme="majorHAnsi"/>
          <w:spacing w:val="-5"/>
          <w:sz w:val="18"/>
          <w:szCs w:val="18"/>
        </w:rPr>
        <w:t>b</w:t>
      </w:r>
      <w:r w:rsidRPr="00536C74">
        <w:rPr>
          <w:rFonts w:asciiTheme="majorHAnsi" w:hAnsiTheme="majorHAnsi"/>
          <w:spacing w:val="-1"/>
          <w:sz w:val="18"/>
          <w:szCs w:val="18"/>
        </w:rPr>
        <w:t>a</w:t>
      </w:r>
      <w:r w:rsidRPr="00536C74">
        <w:rPr>
          <w:rFonts w:asciiTheme="majorHAnsi" w:hAnsiTheme="majorHAnsi"/>
          <w:sz w:val="18"/>
          <w:szCs w:val="18"/>
        </w:rPr>
        <w:t>d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Gujrat</w:t>
      </w:r>
      <w:proofErr w:type="spellEnd"/>
      <w:r>
        <w:rPr>
          <w:rFonts w:asciiTheme="majorHAnsi" w:hAnsiTheme="majorHAnsi"/>
          <w:sz w:val="18"/>
          <w:szCs w:val="18"/>
        </w:rPr>
        <w:t xml:space="preserve"> , India </w:t>
      </w:r>
    </w:p>
    <w:p w:rsidR="00CA0251" w:rsidRDefault="00CA0251" w:rsidP="00CA0251">
      <w:pPr>
        <w:pBdr>
          <w:bottom w:val="single" w:sz="6" w:space="1" w:color="auto"/>
        </w:pBdr>
        <w:spacing w:after="0" w:line="360" w:lineRule="auto"/>
        <w:rPr>
          <w:rFonts w:asciiTheme="majorHAnsi" w:hAnsiTheme="majorHAnsi"/>
          <w:sz w:val="18"/>
          <w:szCs w:val="18"/>
        </w:rPr>
      </w:pPr>
      <w:r w:rsidRPr="00536C74">
        <w:rPr>
          <w:rFonts w:asciiTheme="majorHAnsi" w:hAnsiTheme="majorHAnsi"/>
          <w:sz w:val="18"/>
          <w:szCs w:val="18"/>
        </w:rPr>
        <w:t>C</w:t>
      </w:r>
      <w:r w:rsidRPr="00536C74">
        <w:rPr>
          <w:rFonts w:asciiTheme="majorHAnsi" w:hAnsiTheme="majorHAnsi"/>
          <w:spacing w:val="5"/>
          <w:sz w:val="18"/>
          <w:szCs w:val="18"/>
        </w:rPr>
        <w:t>o</w:t>
      </w:r>
      <w:r w:rsidRPr="00536C74">
        <w:rPr>
          <w:rFonts w:asciiTheme="majorHAnsi" w:hAnsiTheme="majorHAnsi"/>
          <w:spacing w:val="-1"/>
          <w:sz w:val="18"/>
          <w:szCs w:val="18"/>
        </w:rPr>
        <w:t>r</w:t>
      </w:r>
      <w:r w:rsidRPr="00536C74">
        <w:rPr>
          <w:rFonts w:asciiTheme="majorHAnsi" w:hAnsiTheme="majorHAnsi"/>
          <w:spacing w:val="-6"/>
          <w:sz w:val="18"/>
          <w:szCs w:val="18"/>
        </w:rPr>
        <w:t>r</w:t>
      </w:r>
      <w:r w:rsidRPr="00536C74">
        <w:rPr>
          <w:rFonts w:asciiTheme="majorHAnsi" w:hAnsiTheme="majorHAnsi"/>
          <w:spacing w:val="4"/>
          <w:sz w:val="18"/>
          <w:szCs w:val="18"/>
        </w:rPr>
        <w:t>e</w:t>
      </w:r>
      <w:r w:rsidRPr="00536C74">
        <w:rPr>
          <w:rFonts w:asciiTheme="majorHAnsi" w:hAnsiTheme="majorHAnsi"/>
          <w:spacing w:val="-2"/>
          <w:sz w:val="18"/>
          <w:szCs w:val="18"/>
        </w:rPr>
        <w:t>s</w:t>
      </w:r>
      <w:r w:rsidRPr="00536C74">
        <w:rPr>
          <w:rFonts w:asciiTheme="majorHAnsi" w:hAnsiTheme="majorHAnsi"/>
          <w:spacing w:val="1"/>
          <w:sz w:val="18"/>
          <w:szCs w:val="18"/>
        </w:rPr>
        <w:t>p</w:t>
      </w:r>
      <w:r w:rsidRPr="00536C74">
        <w:rPr>
          <w:rFonts w:asciiTheme="majorHAnsi" w:hAnsiTheme="majorHAnsi"/>
          <w:sz w:val="18"/>
          <w:szCs w:val="18"/>
        </w:rPr>
        <w:t>o</w:t>
      </w:r>
      <w:r w:rsidRPr="00536C74">
        <w:rPr>
          <w:rFonts w:asciiTheme="majorHAnsi" w:hAnsiTheme="majorHAnsi"/>
          <w:spacing w:val="1"/>
          <w:sz w:val="18"/>
          <w:szCs w:val="18"/>
        </w:rPr>
        <w:t>nd</w:t>
      </w:r>
      <w:r w:rsidRPr="00536C74">
        <w:rPr>
          <w:rFonts w:asciiTheme="majorHAnsi" w:hAnsiTheme="majorHAnsi"/>
          <w:sz w:val="18"/>
          <w:szCs w:val="18"/>
        </w:rPr>
        <w:t>i</w:t>
      </w:r>
      <w:r w:rsidRPr="00536C74">
        <w:rPr>
          <w:rFonts w:asciiTheme="majorHAnsi" w:hAnsiTheme="majorHAnsi"/>
          <w:spacing w:val="1"/>
          <w:sz w:val="18"/>
          <w:szCs w:val="18"/>
        </w:rPr>
        <w:t>n</w:t>
      </w:r>
      <w:r w:rsidRPr="00536C74">
        <w:rPr>
          <w:rFonts w:asciiTheme="majorHAnsi" w:hAnsiTheme="majorHAnsi"/>
          <w:sz w:val="18"/>
          <w:szCs w:val="18"/>
        </w:rPr>
        <w:t>g</w:t>
      </w:r>
      <w:r w:rsidRPr="00536C74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536C74">
        <w:rPr>
          <w:rFonts w:asciiTheme="majorHAnsi" w:hAnsiTheme="majorHAnsi"/>
          <w:sz w:val="18"/>
          <w:szCs w:val="18"/>
        </w:rPr>
        <w:t>a</w:t>
      </w:r>
      <w:r w:rsidRPr="00536C74">
        <w:rPr>
          <w:rFonts w:asciiTheme="majorHAnsi" w:hAnsiTheme="majorHAnsi"/>
          <w:spacing w:val="1"/>
          <w:sz w:val="18"/>
          <w:szCs w:val="18"/>
        </w:rPr>
        <w:t>uth</w:t>
      </w:r>
      <w:r w:rsidRPr="00536C74">
        <w:rPr>
          <w:rFonts w:asciiTheme="majorHAnsi" w:hAnsiTheme="majorHAnsi"/>
          <w:sz w:val="18"/>
          <w:szCs w:val="18"/>
        </w:rPr>
        <w:t>o</w:t>
      </w:r>
      <w:r w:rsidRPr="00536C74">
        <w:rPr>
          <w:rFonts w:asciiTheme="majorHAnsi" w:hAnsiTheme="majorHAnsi"/>
          <w:spacing w:val="-6"/>
          <w:sz w:val="18"/>
          <w:szCs w:val="18"/>
        </w:rPr>
        <w:t>r</w:t>
      </w:r>
      <w:r w:rsidRPr="00536C74">
        <w:rPr>
          <w:rFonts w:asciiTheme="majorHAnsi" w:hAnsiTheme="majorHAnsi"/>
          <w:sz w:val="18"/>
          <w:szCs w:val="18"/>
        </w:rPr>
        <w:t>:</w:t>
      </w:r>
      <w:r w:rsidRPr="00536C74">
        <w:rPr>
          <w:rFonts w:asciiTheme="majorHAnsi" w:hAnsiTheme="majorHAnsi"/>
          <w:spacing w:val="5"/>
          <w:sz w:val="18"/>
          <w:szCs w:val="18"/>
        </w:rPr>
        <w:t xml:space="preserve"> </w:t>
      </w:r>
      <w:r w:rsidRPr="00536C74">
        <w:rPr>
          <w:rFonts w:asciiTheme="majorHAnsi" w:hAnsiTheme="majorHAnsi"/>
          <w:sz w:val="18"/>
          <w:szCs w:val="18"/>
        </w:rPr>
        <w:t>D</w:t>
      </w:r>
      <w:r w:rsidRPr="00536C74">
        <w:rPr>
          <w:rFonts w:asciiTheme="majorHAnsi" w:hAnsiTheme="majorHAnsi"/>
          <w:spacing w:val="-4"/>
          <w:sz w:val="18"/>
          <w:szCs w:val="18"/>
        </w:rPr>
        <w:t>r</w:t>
      </w:r>
      <w:r w:rsidRPr="00536C74">
        <w:rPr>
          <w:rFonts w:asciiTheme="majorHAnsi" w:hAnsiTheme="majorHAnsi"/>
          <w:sz w:val="18"/>
          <w:szCs w:val="18"/>
        </w:rPr>
        <w:t>.</w:t>
      </w:r>
      <w:r w:rsidRPr="00536C74">
        <w:rPr>
          <w:rFonts w:asciiTheme="majorHAnsi" w:hAnsiTheme="majorHAnsi"/>
          <w:spacing w:val="4"/>
          <w:sz w:val="18"/>
          <w:szCs w:val="18"/>
        </w:rPr>
        <w:t xml:space="preserve"> </w:t>
      </w:r>
      <w:proofErr w:type="spellStart"/>
      <w:r w:rsidRPr="00536C74">
        <w:rPr>
          <w:rFonts w:asciiTheme="majorHAnsi" w:hAnsiTheme="majorHAnsi"/>
          <w:spacing w:val="1"/>
          <w:sz w:val="18"/>
          <w:szCs w:val="18"/>
        </w:rPr>
        <w:t>P</w:t>
      </w:r>
      <w:r w:rsidRPr="00536C74">
        <w:rPr>
          <w:rFonts w:asciiTheme="majorHAnsi" w:hAnsiTheme="majorHAnsi"/>
          <w:spacing w:val="-1"/>
          <w:sz w:val="18"/>
          <w:szCs w:val="18"/>
        </w:rPr>
        <w:t>a</w:t>
      </w:r>
      <w:r w:rsidRPr="00536C74">
        <w:rPr>
          <w:rFonts w:asciiTheme="majorHAnsi" w:hAnsiTheme="majorHAnsi"/>
          <w:spacing w:val="-5"/>
          <w:sz w:val="18"/>
          <w:szCs w:val="18"/>
        </w:rPr>
        <w:t>n</w:t>
      </w:r>
      <w:r w:rsidRPr="00536C74">
        <w:rPr>
          <w:rFonts w:asciiTheme="majorHAnsi" w:hAnsiTheme="majorHAnsi"/>
          <w:spacing w:val="-1"/>
          <w:sz w:val="18"/>
          <w:szCs w:val="18"/>
        </w:rPr>
        <w:t>c</w:t>
      </w:r>
      <w:r w:rsidRPr="00536C74">
        <w:rPr>
          <w:rFonts w:asciiTheme="majorHAnsi" w:hAnsiTheme="majorHAnsi"/>
          <w:spacing w:val="-5"/>
          <w:sz w:val="18"/>
          <w:szCs w:val="18"/>
        </w:rPr>
        <w:t>h</w:t>
      </w:r>
      <w:r w:rsidRPr="00536C74">
        <w:rPr>
          <w:rFonts w:asciiTheme="majorHAnsi" w:hAnsiTheme="majorHAnsi"/>
          <w:spacing w:val="4"/>
          <w:sz w:val="18"/>
          <w:szCs w:val="18"/>
        </w:rPr>
        <w:t>a</w:t>
      </w:r>
      <w:r w:rsidRPr="00536C74">
        <w:rPr>
          <w:rFonts w:asciiTheme="majorHAnsi" w:hAnsiTheme="majorHAnsi"/>
          <w:sz w:val="18"/>
          <w:szCs w:val="18"/>
        </w:rPr>
        <w:t>l</w:t>
      </w:r>
      <w:proofErr w:type="spellEnd"/>
      <w:r w:rsidRPr="00536C74">
        <w:rPr>
          <w:rFonts w:asciiTheme="majorHAnsi" w:hAnsiTheme="majorHAnsi"/>
          <w:spacing w:val="-7"/>
          <w:sz w:val="18"/>
          <w:szCs w:val="18"/>
        </w:rPr>
        <w:t xml:space="preserve"> </w:t>
      </w:r>
      <w:proofErr w:type="spellStart"/>
      <w:r w:rsidRPr="00536C74">
        <w:rPr>
          <w:rFonts w:asciiTheme="majorHAnsi" w:hAnsiTheme="majorHAnsi"/>
          <w:spacing w:val="1"/>
          <w:sz w:val="18"/>
          <w:szCs w:val="18"/>
        </w:rPr>
        <w:t>P</w:t>
      </w:r>
      <w:r w:rsidRPr="00536C74">
        <w:rPr>
          <w:rFonts w:asciiTheme="majorHAnsi" w:hAnsiTheme="majorHAnsi"/>
          <w:spacing w:val="4"/>
          <w:sz w:val="18"/>
          <w:szCs w:val="18"/>
        </w:rPr>
        <w:t>a</w:t>
      </w:r>
      <w:r w:rsidRPr="00536C74">
        <w:rPr>
          <w:rFonts w:asciiTheme="majorHAnsi" w:hAnsiTheme="majorHAnsi"/>
          <w:sz w:val="18"/>
          <w:szCs w:val="18"/>
        </w:rPr>
        <w:t>v</w:t>
      </w:r>
      <w:r w:rsidRPr="00536C74">
        <w:rPr>
          <w:rFonts w:asciiTheme="majorHAnsi" w:hAnsiTheme="majorHAnsi"/>
          <w:spacing w:val="-1"/>
          <w:sz w:val="18"/>
          <w:szCs w:val="18"/>
        </w:rPr>
        <w:t>a</w:t>
      </w:r>
      <w:r w:rsidRPr="00536C74">
        <w:rPr>
          <w:rFonts w:asciiTheme="majorHAnsi" w:hAnsiTheme="majorHAnsi"/>
          <w:sz w:val="18"/>
          <w:szCs w:val="18"/>
        </w:rPr>
        <w:t>n</w:t>
      </w:r>
      <w:proofErr w:type="spellEnd"/>
      <w:r w:rsidRPr="00536C74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36C74">
        <w:rPr>
          <w:rFonts w:asciiTheme="majorHAnsi" w:hAnsiTheme="majorHAnsi"/>
          <w:sz w:val="18"/>
          <w:szCs w:val="18"/>
        </w:rPr>
        <w:t>J.</w:t>
      </w:r>
    </w:p>
    <w:p w:rsidR="00CA0251" w:rsidRDefault="00CA0251" w:rsidP="00CA0251">
      <w:pPr>
        <w:spacing w:after="0" w:line="360" w:lineRule="auto"/>
        <w:rPr>
          <w:rFonts w:ascii="Times New Roman" w:hAnsi="Times New Roman"/>
          <w:b/>
          <w:bCs/>
          <w:sz w:val="20"/>
        </w:rPr>
      </w:pPr>
    </w:p>
    <w:p w:rsidR="00CA0251" w:rsidRPr="00536C74" w:rsidRDefault="00CA0251" w:rsidP="00CA0251">
      <w:pPr>
        <w:spacing w:after="0" w:line="360" w:lineRule="auto"/>
        <w:rPr>
          <w:rFonts w:ascii="Times New Roman" w:hAnsi="Times New Roman"/>
          <w:b/>
          <w:bCs/>
          <w:sz w:val="20"/>
        </w:rPr>
      </w:pPr>
      <w:r w:rsidRPr="00536C74">
        <w:rPr>
          <w:rFonts w:ascii="Times New Roman" w:hAnsi="Times New Roman"/>
          <w:b/>
          <w:bCs/>
          <w:sz w:val="20"/>
        </w:rPr>
        <w:t>Abstract</w:t>
      </w:r>
    </w:p>
    <w:p w:rsidR="00CA0251" w:rsidRPr="00536C74" w:rsidRDefault="00CA0251" w:rsidP="00CA0251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536C74">
        <w:rPr>
          <w:rFonts w:ascii="Times New Roman" w:hAnsi="Times New Roman"/>
          <w:b/>
          <w:sz w:val="20"/>
        </w:rPr>
        <w:t xml:space="preserve">Objective: </w:t>
      </w:r>
      <w:r w:rsidRPr="00536C74">
        <w:rPr>
          <w:rFonts w:ascii="Times New Roman" w:hAnsi="Times New Roman"/>
          <w:sz w:val="20"/>
          <w:shd w:val="clear" w:color="auto" w:fill="FFFFFF"/>
        </w:rPr>
        <w:t xml:space="preserve">To compare of efficacy and safety of iron sucrose and iron </w:t>
      </w:r>
      <w:proofErr w:type="spellStart"/>
      <w:r w:rsidRPr="00536C74">
        <w:rPr>
          <w:rFonts w:ascii="Times New Roman" w:hAnsi="Times New Roman"/>
          <w:sz w:val="20"/>
          <w:shd w:val="clear" w:color="auto" w:fill="FFFFFF"/>
        </w:rPr>
        <w:t>dextran</w:t>
      </w:r>
      <w:proofErr w:type="spellEnd"/>
      <w:r w:rsidRPr="00536C74">
        <w:rPr>
          <w:rFonts w:ascii="Times New Roman" w:hAnsi="Times New Roman"/>
          <w:sz w:val="20"/>
          <w:shd w:val="clear" w:color="auto" w:fill="FFFFFF"/>
        </w:rPr>
        <w:t xml:space="preserve"> in chronic renal failure patients in a tertiary care teaching hospital</w:t>
      </w:r>
    </w:p>
    <w:p w:rsidR="00CA0251" w:rsidRPr="00536C74" w:rsidRDefault="00CA0251" w:rsidP="00CA0251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536C74">
        <w:rPr>
          <w:rFonts w:ascii="Times New Roman" w:hAnsi="Times New Roman"/>
          <w:b/>
          <w:sz w:val="20"/>
        </w:rPr>
        <w:t xml:space="preserve">Methods:  </w:t>
      </w:r>
      <w:r w:rsidRPr="00536C74">
        <w:rPr>
          <w:rFonts w:ascii="Times New Roman" w:hAnsi="Times New Roman"/>
          <w:bCs/>
          <w:sz w:val="20"/>
        </w:rPr>
        <w:t>It was an</w:t>
      </w:r>
      <w:r w:rsidRPr="00536C74">
        <w:rPr>
          <w:rFonts w:ascii="Times New Roman" w:hAnsi="Times New Roman"/>
          <w:sz w:val="20"/>
        </w:rPr>
        <w:t xml:space="preserve"> observational and prospective study in chronic renal failure patients at a tertiary care teaching hospital, who were treated with different </w:t>
      </w:r>
      <w:proofErr w:type="spellStart"/>
      <w:r w:rsidRPr="00536C74">
        <w:rPr>
          <w:rFonts w:ascii="Times New Roman" w:hAnsi="Times New Roman"/>
          <w:sz w:val="20"/>
        </w:rPr>
        <w:t>parenteral</w:t>
      </w:r>
      <w:proofErr w:type="spellEnd"/>
      <w:r w:rsidRPr="00536C74">
        <w:rPr>
          <w:rFonts w:ascii="Times New Roman" w:hAnsi="Times New Roman"/>
          <w:sz w:val="20"/>
        </w:rPr>
        <w:t xml:space="preserve"> iron preparations. The patients were followed up every 4 weeks for 3 months and observed for clinical and hematological improvement and adverse effects.  Improvements in the hematological parameters and serum </w:t>
      </w:r>
      <w:proofErr w:type="spellStart"/>
      <w:r w:rsidRPr="00536C74">
        <w:rPr>
          <w:rFonts w:ascii="Times New Roman" w:hAnsi="Times New Roman"/>
          <w:sz w:val="20"/>
        </w:rPr>
        <w:t>ferritin</w:t>
      </w:r>
      <w:proofErr w:type="spellEnd"/>
      <w:r w:rsidRPr="00536C74">
        <w:rPr>
          <w:rFonts w:ascii="Times New Roman" w:hAnsi="Times New Roman"/>
          <w:sz w:val="20"/>
        </w:rPr>
        <w:t>, with iron sucrose treated patients were compared with historical control groups of different iron preparations. The data was analyzed using paired t-test, unpaired t-test and fisher`s exact test.</w:t>
      </w:r>
    </w:p>
    <w:p w:rsidR="00CA0251" w:rsidRPr="00536C74" w:rsidRDefault="00CA0251" w:rsidP="00CA0251">
      <w:pPr>
        <w:spacing w:after="0" w:line="360" w:lineRule="auto"/>
        <w:jc w:val="both"/>
        <w:rPr>
          <w:rFonts w:ascii="Times New Roman" w:hAnsi="Times New Roman"/>
          <w:bCs/>
          <w:sz w:val="20"/>
        </w:rPr>
      </w:pPr>
      <w:r w:rsidRPr="00536C74">
        <w:rPr>
          <w:rFonts w:ascii="Times New Roman" w:hAnsi="Times New Roman"/>
          <w:b/>
          <w:bCs/>
          <w:sz w:val="20"/>
        </w:rPr>
        <w:t xml:space="preserve">Results: </w:t>
      </w:r>
      <w:r w:rsidRPr="00536C74">
        <w:rPr>
          <w:rFonts w:ascii="Times New Roman" w:hAnsi="Times New Roman"/>
          <w:sz w:val="20"/>
        </w:rPr>
        <w:t xml:space="preserve">Total 48 iron sucrose treated patients were compared with </w:t>
      </w:r>
      <w:r w:rsidRPr="00536C74">
        <w:rPr>
          <w:rFonts w:ascii="Times New Roman" w:hAnsi="Times New Roman"/>
          <w:sz w:val="20"/>
          <w:lang w:bidi="gu-IN"/>
        </w:rPr>
        <w:t xml:space="preserve">historical control group of iron </w:t>
      </w:r>
      <w:proofErr w:type="spellStart"/>
      <w:r w:rsidRPr="00536C74">
        <w:rPr>
          <w:rFonts w:ascii="Times New Roman" w:hAnsi="Times New Roman"/>
          <w:sz w:val="20"/>
          <w:lang w:bidi="gu-IN"/>
        </w:rPr>
        <w:t>dextran</w:t>
      </w:r>
      <w:proofErr w:type="spellEnd"/>
      <w:r w:rsidRPr="00536C74">
        <w:rPr>
          <w:rFonts w:ascii="Times New Roman" w:hAnsi="Times New Roman"/>
          <w:sz w:val="20"/>
          <w:lang w:bidi="gu-IN"/>
        </w:rPr>
        <w:t xml:space="preserve"> treated 57 CRF patients. Iron sucrose and iron </w:t>
      </w:r>
      <w:proofErr w:type="spellStart"/>
      <w:r w:rsidRPr="00536C74">
        <w:rPr>
          <w:rFonts w:ascii="Times New Roman" w:hAnsi="Times New Roman"/>
          <w:sz w:val="20"/>
          <w:lang w:bidi="gu-IN"/>
        </w:rPr>
        <w:t>dextran</w:t>
      </w:r>
      <w:proofErr w:type="spellEnd"/>
      <w:r w:rsidRPr="00536C74">
        <w:rPr>
          <w:rFonts w:ascii="Times New Roman" w:hAnsi="Times New Roman"/>
          <w:sz w:val="20"/>
          <w:lang w:bidi="gu-IN"/>
        </w:rPr>
        <w:t xml:space="preserve"> significantly (P&lt;0.05) improved mean hemoglobin, anemia indices and serum </w:t>
      </w:r>
      <w:proofErr w:type="spellStart"/>
      <w:r w:rsidRPr="00536C74">
        <w:rPr>
          <w:rFonts w:ascii="Times New Roman" w:hAnsi="Times New Roman"/>
          <w:sz w:val="20"/>
          <w:lang w:bidi="gu-IN"/>
        </w:rPr>
        <w:t>ferritin</w:t>
      </w:r>
      <w:proofErr w:type="spellEnd"/>
      <w:r w:rsidRPr="00536C74">
        <w:rPr>
          <w:rFonts w:ascii="Times New Roman" w:hAnsi="Times New Roman"/>
          <w:sz w:val="20"/>
          <w:lang w:bidi="gu-IN"/>
        </w:rPr>
        <w:t xml:space="preserve"> at the end of study.  Mean increased in hemoglobin from baseline was 4.7 g/</w:t>
      </w:r>
      <w:proofErr w:type="spellStart"/>
      <w:r w:rsidRPr="00536C74">
        <w:rPr>
          <w:rFonts w:ascii="Times New Roman" w:hAnsi="Times New Roman"/>
          <w:sz w:val="20"/>
          <w:lang w:bidi="gu-IN"/>
        </w:rPr>
        <w:t>dL</w:t>
      </w:r>
      <w:proofErr w:type="spellEnd"/>
      <w:r w:rsidRPr="00536C74">
        <w:rPr>
          <w:rFonts w:ascii="Times New Roman" w:hAnsi="Times New Roman"/>
          <w:sz w:val="20"/>
          <w:lang w:bidi="gu-IN"/>
        </w:rPr>
        <w:t xml:space="preserve"> with iron sucrose (at 12 weeks) and 2.4 g/</w:t>
      </w:r>
      <w:proofErr w:type="spellStart"/>
      <w:r w:rsidRPr="00536C74">
        <w:rPr>
          <w:rFonts w:ascii="Times New Roman" w:hAnsi="Times New Roman"/>
          <w:sz w:val="20"/>
          <w:lang w:bidi="gu-IN"/>
        </w:rPr>
        <w:t>dL</w:t>
      </w:r>
      <w:proofErr w:type="spellEnd"/>
      <w:r w:rsidRPr="00536C74">
        <w:rPr>
          <w:rFonts w:ascii="Times New Roman" w:hAnsi="Times New Roman"/>
          <w:sz w:val="20"/>
          <w:lang w:bidi="gu-IN"/>
        </w:rPr>
        <w:t xml:space="preserve"> with iron </w:t>
      </w:r>
      <w:proofErr w:type="spellStart"/>
      <w:r w:rsidRPr="00536C74">
        <w:rPr>
          <w:rFonts w:ascii="Times New Roman" w:hAnsi="Times New Roman"/>
          <w:sz w:val="20"/>
          <w:lang w:bidi="gu-IN"/>
        </w:rPr>
        <w:t>dextran</w:t>
      </w:r>
      <w:proofErr w:type="spellEnd"/>
      <w:r w:rsidRPr="00536C74">
        <w:rPr>
          <w:rFonts w:ascii="Times New Roman" w:hAnsi="Times New Roman"/>
          <w:sz w:val="20"/>
          <w:lang w:bidi="gu-IN"/>
        </w:rPr>
        <w:t xml:space="preserve"> (at 6 weeks). Mean improvement in MCV and MCH were 8.3</w:t>
      </w:r>
      <w:r w:rsidRPr="00536C74">
        <w:rPr>
          <w:rFonts w:ascii="Times New Roman" w:hAnsi="Times New Roman"/>
          <w:sz w:val="20"/>
        </w:rPr>
        <w:t xml:space="preserve"> </w:t>
      </w:r>
      <w:r w:rsidRPr="00536C74">
        <w:rPr>
          <w:rFonts w:ascii="Times New Roman" w:hAnsi="Times New Roman"/>
          <w:sz w:val="20"/>
          <w:lang w:bidi="gu-IN"/>
        </w:rPr>
        <w:t>μm</w:t>
      </w:r>
      <w:r w:rsidRPr="00536C74">
        <w:rPr>
          <w:rFonts w:ascii="Times New Roman" w:hAnsi="Times New Roman"/>
          <w:sz w:val="20"/>
          <w:vertAlign w:val="superscript"/>
          <w:lang w:bidi="gu-IN"/>
        </w:rPr>
        <w:t>3</w:t>
      </w:r>
      <w:r w:rsidRPr="00536C74">
        <w:rPr>
          <w:rFonts w:ascii="Times New Roman" w:hAnsi="Times New Roman"/>
          <w:sz w:val="20"/>
          <w:lang w:bidi="gu-IN"/>
        </w:rPr>
        <w:t xml:space="preserve"> and </w:t>
      </w:r>
      <w:proofErr w:type="gramStart"/>
      <w:r w:rsidRPr="00536C74">
        <w:rPr>
          <w:rFonts w:ascii="Times New Roman" w:hAnsi="Times New Roman"/>
          <w:sz w:val="20"/>
          <w:lang w:bidi="gu-IN"/>
        </w:rPr>
        <w:t>3.5 pg/cell with iron sucrose (at 12 weeks)</w:t>
      </w:r>
      <w:proofErr w:type="gramEnd"/>
      <w:r w:rsidRPr="00536C74">
        <w:rPr>
          <w:rFonts w:ascii="Times New Roman" w:hAnsi="Times New Roman"/>
          <w:sz w:val="20"/>
          <w:lang w:bidi="gu-IN"/>
        </w:rPr>
        <w:t xml:space="preserve"> and 6.2 μm3 with iron </w:t>
      </w:r>
      <w:proofErr w:type="spellStart"/>
      <w:r w:rsidRPr="00536C74">
        <w:rPr>
          <w:rFonts w:ascii="Times New Roman" w:hAnsi="Times New Roman"/>
          <w:sz w:val="20"/>
          <w:lang w:bidi="gu-IN"/>
        </w:rPr>
        <w:t>dextran</w:t>
      </w:r>
      <w:proofErr w:type="spellEnd"/>
      <w:r w:rsidRPr="00536C74">
        <w:rPr>
          <w:rFonts w:ascii="Times New Roman" w:hAnsi="Times New Roman"/>
          <w:sz w:val="20"/>
          <w:lang w:bidi="gu-IN"/>
        </w:rPr>
        <w:t xml:space="preserve"> (at 6 weeks) respectively. At 12 weeks, mean increases in serum </w:t>
      </w:r>
      <w:proofErr w:type="spellStart"/>
      <w:r w:rsidRPr="00536C74">
        <w:rPr>
          <w:rFonts w:ascii="Times New Roman" w:hAnsi="Times New Roman"/>
          <w:sz w:val="20"/>
          <w:lang w:bidi="gu-IN"/>
        </w:rPr>
        <w:t>ferritin</w:t>
      </w:r>
      <w:proofErr w:type="spellEnd"/>
      <w:r w:rsidRPr="00536C74">
        <w:rPr>
          <w:rFonts w:ascii="Times New Roman" w:hAnsi="Times New Roman"/>
          <w:sz w:val="20"/>
          <w:lang w:bidi="gu-IN"/>
        </w:rPr>
        <w:t xml:space="preserve"> was 220.5 </w:t>
      </w:r>
      <w:proofErr w:type="spellStart"/>
      <w:r w:rsidRPr="00536C74">
        <w:rPr>
          <w:rFonts w:ascii="Times New Roman" w:hAnsi="Times New Roman"/>
          <w:sz w:val="20"/>
          <w:lang w:bidi="gu-IN"/>
        </w:rPr>
        <w:t>ng</w:t>
      </w:r>
      <w:proofErr w:type="spellEnd"/>
      <w:r w:rsidRPr="00536C74">
        <w:rPr>
          <w:rFonts w:ascii="Times New Roman" w:hAnsi="Times New Roman"/>
          <w:sz w:val="20"/>
          <w:lang w:bidi="gu-IN"/>
        </w:rPr>
        <w:t xml:space="preserve">/ml with iron sucrose treated patients of CRF) as compared to 290.5 </w:t>
      </w:r>
      <w:proofErr w:type="spellStart"/>
      <w:r w:rsidRPr="00536C74">
        <w:rPr>
          <w:rFonts w:ascii="Times New Roman" w:hAnsi="Times New Roman"/>
          <w:sz w:val="20"/>
          <w:lang w:bidi="gu-IN"/>
        </w:rPr>
        <w:t>ng</w:t>
      </w:r>
      <w:proofErr w:type="spellEnd"/>
      <w:r w:rsidRPr="00536C74">
        <w:rPr>
          <w:rFonts w:ascii="Times New Roman" w:hAnsi="Times New Roman"/>
          <w:sz w:val="20"/>
          <w:lang w:bidi="gu-IN"/>
        </w:rPr>
        <w:t xml:space="preserve">/ml with iron </w:t>
      </w:r>
      <w:proofErr w:type="spellStart"/>
      <w:r w:rsidRPr="00536C74">
        <w:rPr>
          <w:rFonts w:ascii="Times New Roman" w:hAnsi="Times New Roman"/>
          <w:sz w:val="20"/>
          <w:lang w:bidi="gu-IN"/>
        </w:rPr>
        <w:t>dextran</w:t>
      </w:r>
      <w:proofErr w:type="spellEnd"/>
      <w:r w:rsidRPr="00536C74">
        <w:rPr>
          <w:rFonts w:ascii="Times New Roman" w:hAnsi="Times New Roman"/>
          <w:sz w:val="20"/>
          <w:lang w:bidi="gu-IN"/>
        </w:rPr>
        <w:t xml:space="preserve"> (at 6 weeks). </w:t>
      </w:r>
      <w:r w:rsidRPr="00536C74">
        <w:rPr>
          <w:rFonts w:ascii="Times New Roman" w:hAnsi="Times New Roman"/>
          <w:bCs/>
          <w:sz w:val="20"/>
        </w:rPr>
        <w:t xml:space="preserve">ADRs were more in patients treated with iron </w:t>
      </w:r>
      <w:proofErr w:type="spellStart"/>
      <w:r w:rsidRPr="00536C74">
        <w:rPr>
          <w:rFonts w:ascii="Times New Roman" w:hAnsi="Times New Roman"/>
          <w:bCs/>
          <w:sz w:val="20"/>
        </w:rPr>
        <w:t>dextran</w:t>
      </w:r>
      <w:proofErr w:type="spellEnd"/>
      <w:r w:rsidRPr="00536C74">
        <w:rPr>
          <w:rFonts w:ascii="Times New Roman" w:hAnsi="Times New Roman"/>
          <w:bCs/>
          <w:sz w:val="20"/>
        </w:rPr>
        <w:t xml:space="preserve"> (170.1%) as compared to iron sucrose (58.3%).</w:t>
      </w:r>
    </w:p>
    <w:p w:rsidR="00CA0251" w:rsidRPr="00536C74" w:rsidRDefault="00CA0251" w:rsidP="00CA0251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536C74">
        <w:rPr>
          <w:rFonts w:ascii="Times New Roman" w:hAnsi="Times New Roman"/>
          <w:b/>
          <w:bCs/>
          <w:sz w:val="20"/>
        </w:rPr>
        <w:t xml:space="preserve">Conclusion: </w:t>
      </w:r>
      <w:r w:rsidRPr="00536C74">
        <w:rPr>
          <w:rFonts w:ascii="Times New Roman" w:hAnsi="Times New Roman"/>
          <w:sz w:val="20"/>
        </w:rPr>
        <w:t xml:space="preserve">Both </w:t>
      </w:r>
      <w:proofErr w:type="spellStart"/>
      <w:r w:rsidRPr="00536C74">
        <w:rPr>
          <w:rFonts w:ascii="Times New Roman" w:hAnsi="Times New Roman"/>
          <w:sz w:val="20"/>
        </w:rPr>
        <w:t>parenteral</w:t>
      </w:r>
      <w:proofErr w:type="spellEnd"/>
      <w:r w:rsidRPr="00536C74">
        <w:rPr>
          <w:rFonts w:ascii="Times New Roman" w:hAnsi="Times New Roman"/>
          <w:sz w:val="20"/>
        </w:rPr>
        <w:t xml:space="preserve"> iron preparations improved hemoglobin and anemia indices efficiently, however, iron sucrose was more efficacious and well tolerated by patients.</w:t>
      </w:r>
    </w:p>
    <w:p w:rsidR="00CA0251" w:rsidRDefault="00CA0251" w:rsidP="00CA0251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536C74">
        <w:rPr>
          <w:rFonts w:ascii="Times New Roman" w:hAnsi="Times New Roman"/>
          <w:b/>
          <w:bCs/>
          <w:sz w:val="20"/>
        </w:rPr>
        <w:t xml:space="preserve">Key words: </w:t>
      </w:r>
      <w:proofErr w:type="spellStart"/>
      <w:r w:rsidRPr="00536C74">
        <w:rPr>
          <w:rFonts w:ascii="Times New Roman" w:hAnsi="Times New Roman"/>
          <w:sz w:val="20"/>
        </w:rPr>
        <w:t>parenteral</w:t>
      </w:r>
      <w:proofErr w:type="spellEnd"/>
      <w:r w:rsidRPr="00536C74">
        <w:rPr>
          <w:rFonts w:ascii="Times New Roman" w:hAnsi="Times New Roman"/>
          <w:sz w:val="20"/>
        </w:rPr>
        <w:t xml:space="preserve"> iron preparation, chronic renal failure, iron sucrose, iron </w:t>
      </w:r>
      <w:proofErr w:type="spellStart"/>
      <w:r w:rsidRPr="00536C74">
        <w:rPr>
          <w:rFonts w:ascii="Times New Roman" w:hAnsi="Times New Roman"/>
          <w:sz w:val="20"/>
        </w:rPr>
        <w:t>dextran</w:t>
      </w:r>
      <w:proofErr w:type="spellEnd"/>
    </w:p>
    <w:p w:rsidR="0006104F" w:rsidRDefault="0006104F" w:rsidP="00CA0251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251"/>
    <w:rsid w:val="000061B3"/>
    <w:rsid w:val="0006104F"/>
    <w:rsid w:val="00274F00"/>
    <w:rsid w:val="00A83F59"/>
    <w:rsid w:val="00AE3137"/>
    <w:rsid w:val="00C95712"/>
    <w:rsid w:val="00CA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t">
    <w:name w:val="hit"/>
    <w:rsid w:val="00CA0251"/>
  </w:style>
  <w:style w:type="paragraph" w:styleId="Header">
    <w:name w:val="header"/>
    <w:aliases w:val="Char"/>
    <w:basedOn w:val="Normal"/>
    <w:link w:val="HeaderChar"/>
    <w:uiPriority w:val="99"/>
    <w:unhideWhenUsed/>
    <w:rsid w:val="00CA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CA02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2015-06-17T04:11:00Z</dcterms:created>
  <dcterms:modified xsi:type="dcterms:W3CDTF">2015-06-17T04:13:00Z</dcterms:modified>
</cp:coreProperties>
</file>